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9315" w14:textId="7E531EAD" w:rsidR="005E1698" w:rsidRPr="000328E8" w:rsidRDefault="000328E8" w:rsidP="005E1698">
      <w:pPr>
        <w:rPr>
          <w:rFonts w:ascii="Times New Roman" w:hAnsi="Times New Roman"/>
          <w:bCs/>
          <w:i/>
          <w:color w:val="365F91"/>
          <w:sz w:val="24"/>
          <w:szCs w:val="24"/>
          <w:lang w:eastAsia="pl-PL"/>
        </w:rPr>
      </w:pPr>
      <w:r w:rsidRPr="000328E8">
        <w:rPr>
          <w:rFonts w:ascii="Times New Roman" w:hAnsi="Times New Roman"/>
          <w:bCs/>
          <w:i/>
          <w:color w:val="365F91"/>
          <w:sz w:val="24"/>
          <w:szCs w:val="24"/>
          <w:lang w:eastAsia="pl-PL"/>
        </w:rPr>
        <w:t>Załącznik nr 1</w:t>
      </w:r>
      <w:r w:rsidR="00E21EA1">
        <w:rPr>
          <w:rFonts w:ascii="Times New Roman" w:hAnsi="Times New Roman"/>
          <w:bCs/>
          <w:i/>
          <w:color w:val="365F91"/>
          <w:sz w:val="24"/>
          <w:szCs w:val="24"/>
          <w:lang w:eastAsia="pl-PL"/>
        </w:rPr>
        <w:t>4</w:t>
      </w:r>
      <w:r w:rsidRPr="000328E8">
        <w:rPr>
          <w:rFonts w:ascii="Times New Roman" w:hAnsi="Times New Roman"/>
          <w:bCs/>
          <w:i/>
          <w:color w:val="365F91"/>
          <w:sz w:val="24"/>
          <w:szCs w:val="24"/>
          <w:lang w:eastAsia="pl-PL"/>
        </w:rPr>
        <w:t xml:space="preserve"> do Ogłoszenia</w:t>
      </w:r>
    </w:p>
    <w:p w14:paraId="068637B7" w14:textId="77777777" w:rsidR="005E1698" w:rsidRDefault="005E1698" w:rsidP="005E1698">
      <w:pPr>
        <w:jc w:val="center"/>
        <w:rPr>
          <w:rFonts w:ascii="Times New Roman" w:hAnsi="Times New Roman"/>
        </w:rPr>
      </w:pPr>
      <w:r w:rsidRPr="00DD1337">
        <w:rPr>
          <w:rFonts w:ascii="Times New Roman" w:hAnsi="Times New Roman"/>
        </w:rPr>
        <w:t>KRYTERIA OBLIGATORYJNE W ODNIESIENIU DO NABORÓW OGŁASZANY</w:t>
      </w:r>
      <w:r>
        <w:rPr>
          <w:rFonts w:ascii="Times New Roman" w:hAnsi="Times New Roman"/>
        </w:rPr>
        <w:t xml:space="preserve">CH W ZAKRESIE OPERACJI FINANSOWANYCH ZE ŚRODKÓW </w:t>
      </w:r>
      <w:r w:rsidRPr="00222145">
        <w:rPr>
          <w:rFonts w:ascii="Times New Roman" w:hAnsi="Times New Roman"/>
          <w:b/>
        </w:rPr>
        <w:t>EUROPEJSKIEGO FUNDUSZU ROZWOJU REGIONALNEGO</w:t>
      </w:r>
      <w:r>
        <w:rPr>
          <w:rFonts w:ascii="Times New Roman" w:hAnsi="Times New Roman"/>
        </w:rPr>
        <w:t xml:space="preserve"> </w:t>
      </w:r>
    </w:p>
    <w:tbl>
      <w:tblPr>
        <w:tblW w:w="142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263"/>
        <w:gridCol w:w="5812"/>
        <w:gridCol w:w="3827"/>
        <w:gridCol w:w="2321"/>
      </w:tblGrid>
      <w:tr w:rsidR="004C5FC6" w:rsidRPr="004C5FC6" w14:paraId="3F55DC7B" w14:textId="77777777" w:rsidTr="00996289">
        <w:tc>
          <w:tcPr>
            <w:tcW w:w="2263" w:type="dxa"/>
            <w:tcBorders>
              <w:top w:val="single" w:sz="4" w:space="0" w:color="auto"/>
            </w:tcBorders>
            <w:shd w:val="clear" w:color="auto" w:fill="EEECE1"/>
            <w:tcMar>
              <w:top w:w="0" w:type="dxa"/>
              <w:left w:w="108" w:type="dxa"/>
              <w:bottom w:w="0" w:type="dxa"/>
              <w:right w:w="108" w:type="dxa"/>
            </w:tcMar>
          </w:tcPr>
          <w:p w14:paraId="66142BF7"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Kryterium:</w:t>
            </w:r>
          </w:p>
        </w:tc>
        <w:tc>
          <w:tcPr>
            <w:tcW w:w="5812" w:type="dxa"/>
            <w:tcBorders>
              <w:top w:val="single" w:sz="4" w:space="0" w:color="auto"/>
            </w:tcBorders>
            <w:shd w:val="clear" w:color="auto" w:fill="EEECE1"/>
            <w:tcMar>
              <w:top w:w="0" w:type="dxa"/>
              <w:left w:w="108" w:type="dxa"/>
              <w:bottom w:w="0" w:type="dxa"/>
              <w:right w:w="108" w:type="dxa"/>
            </w:tcMar>
          </w:tcPr>
          <w:p w14:paraId="2EE77D52"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Opis:</w:t>
            </w:r>
          </w:p>
        </w:tc>
        <w:tc>
          <w:tcPr>
            <w:tcW w:w="3827" w:type="dxa"/>
            <w:tcBorders>
              <w:top w:val="single" w:sz="4" w:space="0" w:color="auto"/>
            </w:tcBorders>
            <w:shd w:val="clear" w:color="auto" w:fill="EEECE1"/>
            <w:tcMar>
              <w:top w:w="0" w:type="dxa"/>
              <w:left w:w="108" w:type="dxa"/>
              <w:bottom w:w="0" w:type="dxa"/>
              <w:right w:w="108" w:type="dxa"/>
            </w:tcMar>
          </w:tcPr>
          <w:p w14:paraId="01BF7D6C"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Punktacja:</w:t>
            </w:r>
          </w:p>
        </w:tc>
        <w:tc>
          <w:tcPr>
            <w:tcW w:w="2321" w:type="dxa"/>
            <w:tcBorders>
              <w:top w:val="single" w:sz="4" w:space="0" w:color="auto"/>
            </w:tcBorders>
            <w:shd w:val="clear" w:color="auto" w:fill="EEECE1"/>
            <w:tcMar>
              <w:top w:w="0" w:type="dxa"/>
              <w:left w:w="108" w:type="dxa"/>
              <w:bottom w:w="0" w:type="dxa"/>
              <w:right w:w="108" w:type="dxa"/>
            </w:tcMar>
          </w:tcPr>
          <w:p w14:paraId="2A3B486A"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Źródło weryfikacji:</w:t>
            </w:r>
          </w:p>
        </w:tc>
      </w:tr>
      <w:tr w:rsidR="004C5FC6" w:rsidRPr="004C5FC6" w14:paraId="39AE4C17" w14:textId="77777777" w:rsidTr="00996289">
        <w:tc>
          <w:tcPr>
            <w:tcW w:w="2263" w:type="dxa"/>
            <w:tcMar>
              <w:top w:w="0" w:type="dxa"/>
              <w:left w:w="108" w:type="dxa"/>
              <w:bottom w:w="0" w:type="dxa"/>
              <w:right w:w="108" w:type="dxa"/>
            </w:tcMar>
          </w:tcPr>
          <w:p w14:paraId="5BF84096"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I. Realizacja operacji przez partnerów społecznych lub organizacje pozarządowe</w:t>
            </w:r>
          </w:p>
        </w:tc>
        <w:tc>
          <w:tcPr>
            <w:tcW w:w="5812" w:type="dxa"/>
            <w:tcMar>
              <w:top w:w="0" w:type="dxa"/>
              <w:left w:w="108" w:type="dxa"/>
              <w:bottom w:w="0" w:type="dxa"/>
              <w:right w:w="108" w:type="dxa"/>
            </w:tcMar>
          </w:tcPr>
          <w:p w14:paraId="5DD29587"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Preferuje się operacje realizowane w pełni lub częściowo przez partnerów społecznych lub organizacje pozarządowe. Partnerzy społeczni to termin szeroko używany w całej Europie w odniesieniu do przedstawicieli pracodawców i pracowników (organizacji pracodawców i związków zawodowych). Partnerem społecznym może być również związek wyznaniowy (parafia). Organizacja pozarządowa (</w:t>
            </w:r>
            <w:proofErr w:type="spellStart"/>
            <w:r w:rsidRPr="004C5FC6">
              <w:rPr>
                <w:rFonts w:ascii="Times New Roman" w:hAnsi="Times New Roman"/>
                <w:sz w:val="18"/>
                <w:szCs w:val="18"/>
              </w:rPr>
              <w:t>ngo</w:t>
            </w:r>
            <w:proofErr w:type="spellEnd"/>
            <w:r w:rsidRPr="004C5FC6">
              <w:rPr>
                <w:rFonts w:ascii="Times New Roman" w:hAnsi="Times New Roman"/>
                <w:sz w:val="18"/>
                <w:szCs w:val="18"/>
              </w:rPr>
              <w:t>) to organizacja założona przez obywateli z własnej inicjatywy, która nie działa dla osiągnięcia zysku i jest zorganizowana na szczeblu lokalnym, krajowym lub międzynarodowym.</w:t>
            </w:r>
          </w:p>
          <w:p w14:paraId="72BF507B" w14:textId="77777777" w:rsidR="004C5FC6" w:rsidRPr="004C5FC6" w:rsidRDefault="004C5FC6" w:rsidP="004C5FC6">
            <w:pPr>
              <w:spacing w:after="0" w:line="240" w:lineRule="auto"/>
              <w:rPr>
                <w:rFonts w:ascii="Times New Roman" w:hAnsi="Times New Roman"/>
                <w:sz w:val="18"/>
                <w:szCs w:val="18"/>
              </w:rPr>
            </w:pPr>
          </w:p>
        </w:tc>
        <w:tc>
          <w:tcPr>
            <w:tcW w:w="3827" w:type="dxa"/>
            <w:tcMar>
              <w:top w:w="0" w:type="dxa"/>
              <w:left w:w="108" w:type="dxa"/>
              <w:bottom w:w="0" w:type="dxa"/>
              <w:right w:w="108" w:type="dxa"/>
            </w:tcMar>
          </w:tcPr>
          <w:p w14:paraId="307F62DD"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5 pkt – operacja jest realizowana w pełni lub częściowo przez partnerów społecznych lub organizacje pozarządowe </w:t>
            </w:r>
          </w:p>
          <w:p w14:paraId="22008C95"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0 pkt - operacja nie jest realizowana w pełni lub częściowo przez partnerów społecznych lub organizacje pozarządowe </w:t>
            </w:r>
          </w:p>
        </w:tc>
        <w:tc>
          <w:tcPr>
            <w:tcW w:w="2321" w:type="dxa"/>
            <w:tcMar>
              <w:top w:w="0" w:type="dxa"/>
              <w:left w:w="108" w:type="dxa"/>
              <w:bottom w:w="0" w:type="dxa"/>
              <w:right w:w="108" w:type="dxa"/>
            </w:tcMar>
          </w:tcPr>
          <w:p w14:paraId="0A1DF0DF"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14:paraId="7022227C" w14:textId="77777777"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9E738"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II. Doradztwo LGD</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07183985"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Preferuje się wnioskodawców korzystających z indywidualnego wsparcia doradczego oferowanego przez biuro LGD.</w:t>
            </w:r>
          </w:p>
          <w:p w14:paraId="476365A1"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Aby podmiot uzyskał punkty za skorzystanie z doradztwa ma obowiązek skorzystać z niego w terminie od dnia ogłoszenia naboru wniosków na stronie internetowej LGD i nie później niż 1 dzień przed zakończeniem naboru wniosków. </w:t>
            </w:r>
          </w:p>
          <w:p w14:paraId="4B3EA1D0" w14:textId="77777777"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3CD2779D"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wnioskodawca korzystał z doradztwa biura LGD </w:t>
            </w:r>
          </w:p>
          <w:p w14:paraId="71438DB6"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0 pkt – wnioskodawca nie korzystał z doradztwa biura LGD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14:paraId="47A06A7D"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Karta doradztwa</w:t>
            </w:r>
          </w:p>
        </w:tc>
      </w:tr>
      <w:tr w:rsidR="004C5FC6" w:rsidRPr="004C5FC6" w14:paraId="6D18281E" w14:textId="77777777"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91F085"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 xml:space="preserve">III. Wpływ operacji na poprawę atrakcyjności turystycznej obszaru </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14:paraId="41C519B9"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 </w:t>
            </w:r>
          </w:p>
          <w:p w14:paraId="4178AE44" w14:textId="77777777"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4DC23B4C"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operacja pozytywnie wpływa na poprawę atrakcyjności turystycznej obszaru </w:t>
            </w:r>
          </w:p>
          <w:p w14:paraId="2F69AF39"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operacja ma neutralny wpływ na poprawę atrakcyjności turystycznej obszaru </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14:paraId="0473E4AB"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14:paraId="5C74CC63" w14:textId="77777777"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2C80959"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 xml:space="preserve">IV. Oddziaływanie operacji na grupę defaworyzowaną zidentyfikowaną w LSR </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14:paraId="5F1B7E50"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operacje oddziałujące pozytywnie na grupę defaworyzowaną.. Identyfikacja grup </w:t>
            </w:r>
            <w:proofErr w:type="spellStart"/>
            <w:r w:rsidRPr="004C5FC6">
              <w:rPr>
                <w:rFonts w:ascii="Times New Roman" w:hAnsi="Times New Roman"/>
                <w:sz w:val="18"/>
                <w:szCs w:val="18"/>
              </w:rPr>
              <w:t>defaworyzowanych</w:t>
            </w:r>
            <w:proofErr w:type="spellEnd"/>
            <w:r w:rsidRPr="004C5FC6">
              <w:rPr>
                <w:rFonts w:ascii="Times New Roman" w:hAnsi="Times New Roman"/>
                <w:sz w:val="18"/>
                <w:szCs w:val="18"/>
              </w:rPr>
              <w:t xml:space="preserve"> na obszarze LSR znajduje się Lokalnej Strategii Rozwoju w </w:t>
            </w:r>
            <w:r w:rsidRPr="004C5FC6">
              <w:rPr>
                <w:rFonts w:ascii="Times New Roman" w:hAnsi="Times New Roman"/>
                <w:i/>
                <w:sz w:val="18"/>
                <w:szCs w:val="18"/>
              </w:rPr>
              <w:t>Rozdziale III.  Diagnoza – opis obszaru i ludności.</w:t>
            </w:r>
            <w:r w:rsidRPr="004C5FC6">
              <w:rPr>
                <w:rFonts w:ascii="Times New Roman" w:hAnsi="Times New Roman"/>
                <w:sz w:val="18"/>
                <w:szCs w:val="18"/>
              </w:rPr>
              <w:t xml:space="preserve">  </w:t>
            </w:r>
          </w:p>
          <w:p w14:paraId="3CC99AE1" w14:textId="77777777"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14:paraId="1D477F16"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6 pkt - pozytywne oddziaływanie operacji na dwie ze zidentyfikowanych grup </w:t>
            </w:r>
            <w:proofErr w:type="spellStart"/>
            <w:r w:rsidRPr="004C5FC6">
              <w:rPr>
                <w:rFonts w:ascii="Times New Roman" w:hAnsi="Times New Roman"/>
                <w:sz w:val="18"/>
                <w:szCs w:val="18"/>
              </w:rPr>
              <w:t>defaworyzowanych</w:t>
            </w:r>
            <w:proofErr w:type="spellEnd"/>
            <w:r w:rsidRPr="004C5FC6">
              <w:rPr>
                <w:rFonts w:ascii="Times New Roman" w:hAnsi="Times New Roman"/>
                <w:sz w:val="18"/>
                <w:szCs w:val="18"/>
              </w:rPr>
              <w:t xml:space="preserve"> na obszarze LSR</w:t>
            </w:r>
          </w:p>
          <w:p w14:paraId="5AE31E32"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pozytywne oddziaływanie operacji na jedną ze zidentyfikowanych grup </w:t>
            </w:r>
            <w:proofErr w:type="spellStart"/>
            <w:r w:rsidRPr="004C5FC6">
              <w:rPr>
                <w:rFonts w:ascii="Times New Roman" w:hAnsi="Times New Roman"/>
                <w:sz w:val="18"/>
                <w:szCs w:val="18"/>
              </w:rPr>
              <w:t>defaworyzowanych</w:t>
            </w:r>
            <w:proofErr w:type="spellEnd"/>
            <w:r w:rsidRPr="004C5FC6">
              <w:rPr>
                <w:rFonts w:ascii="Times New Roman" w:hAnsi="Times New Roman"/>
                <w:sz w:val="18"/>
                <w:szCs w:val="18"/>
              </w:rPr>
              <w:t xml:space="preserve"> na obszarze LSR</w:t>
            </w:r>
          </w:p>
          <w:p w14:paraId="560A4EA3"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brak oddziaływania operacji na grupę defaworyzowaną na obszarze LSR</w:t>
            </w: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14:paraId="6477A153"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14:paraId="1885D0EE" w14:textId="77777777"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D1C6A3"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lastRenderedPageBreak/>
              <w:t>V. Wkład własny wnioskodawcy w finansowanie projektu</w:t>
            </w:r>
          </w:p>
        </w:tc>
        <w:tc>
          <w:tcPr>
            <w:tcW w:w="5812" w:type="dxa"/>
            <w:tcBorders>
              <w:top w:val="nil"/>
              <w:left w:val="nil"/>
              <w:bottom w:val="single" w:sz="4" w:space="0" w:color="auto"/>
              <w:right w:val="single" w:sz="8" w:space="0" w:color="auto"/>
            </w:tcBorders>
            <w:tcMar>
              <w:top w:w="0" w:type="dxa"/>
              <w:left w:w="108" w:type="dxa"/>
              <w:bottom w:w="0" w:type="dxa"/>
              <w:right w:w="108" w:type="dxa"/>
            </w:tcMar>
          </w:tcPr>
          <w:p w14:paraId="15BE186F"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realizację projektu. </w:t>
            </w:r>
          </w:p>
          <w:p w14:paraId="38BC1D29" w14:textId="77777777" w:rsidR="004C5FC6" w:rsidRPr="004C5FC6" w:rsidRDefault="004C5FC6" w:rsidP="004C5FC6">
            <w:pPr>
              <w:spacing w:after="0" w:line="240" w:lineRule="auto"/>
              <w:rPr>
                <w:rFonts w:ascii="Times New Roman" w:hAnsi="Times New Roman"/>
                <w:sz w:val="18"/>
                <w:szCs w:val="1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tcPr>
          <w:p w14:paraId="23B788A2"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1 punkt za każdy 1 </w:t>
            </w:r>
            <w:proofErr w:type="spellStart"/>
            <w:r w:rsidRPr="004C5FC6">
              <w:rPr>
                <w:rFonts w:ascii="Times New Roman" w:hAnsi="Times New Roman"/>
                <w:sz w:val="18"/>
                <w:szCs w:val="18"/>
              </w:rPr>
              <w:t>p.p</w:t>
            </w:r>
            <w:proofErr w:type="spellEnd"/>
            <w:r w:rsidRPr="004C5FC6">
              <w:rPr>
                <w:rFonts w:ascii="Times New Roman" w:hAnsi="Times New Roman"/>
                <w:sz w:val="18"/>
                <w:szCs w:val="18"/>
              </w:rPr>
              <w:t xml:space="preserve">.  deklarowanego wkładu własnego wyższego od minimalnego </w:t>
            </w:r>
          </w:p>
          <w:p w14:paraId="5301876A" w14:textId="77777777" w:rsidR="004C5FC6" w:rsidRPr="004C5FC6" w:rsidRDefault="004C5FC6" w:rsidP="004C5FC6">
            <w:pPr>
              <w:spacing w:after="0" w:line="240" w:lineRule="auto"/>
              <w:rPr>
                <w:rFonts w:ascii="Times New Roman" w:hAnsi="Times New Roman"/>
                <w:sz w:val="18"/>
                <w:szCs w:val="18"/>
              </w:rPr>
            </w:pPr>
          </w:p>
          <w:p w14:paraId="7CB4E22B"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Maksymalna liczba punktów –  5. </w:t>
            </w:r>
          </w:p>
          <w:p w14:paraId="425584B5" w14:textId="77777777" w:rsidR="004C5FC6" w:rsidRPr="004C5FC6" w:rsidRDefault="004C5FC6" w:rsidP="004C5FC6">
            <w:pPr>
              <w:spacing w:after="0" w:line="240" w:lineRule="auto"/>
              <w:rPr>
                <w:rFonts w:ascii="Times New Roman" w:hAnsi="Times New Roman"/>
                <w:sz w:val="18"/>
                <w:szCs w:val="18"/>
              </w:rPr>
            </w:pPr>
          </w:p>
        </w:tc>
        <w:tc>
          <w:tcPr>
            <w:tcW w:w="2321" w:type="dxa"/>
            <w:tcBorders>
              <w:top w:val="nil"/>
              <w:left w:val="nil"/>
              <w:bottom w:val="single" w:sz="4" w:space="0" w:color="auto"/>
              <w:right w:val="single" w:sz="8" w:space="0" w:color="auto"/>
            </w:tcBorders>
            <w:tcMar>
              <w:top w:w="0" w:type="dxa"/>
              <w:left w:w="108" w:type="dxa"/>
              <w:bottom w:w="0" w:type="dxa"/>
              <w:right w:w="108" w:type="dxa"/>
            </w:tcMar>
          </w:tcPr>
          <w:p w14:paraId="65D0DB9C"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w:t>
            </w:r>
          </w:p>
        </w:tc>
      </w:tr>
      <w:tr w:rsidR="004C5FC6" w:rsidRPr="004C5FC6" w14:paraId="4BB42011" w14:textId="77777777"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D0B75"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 xml:space="preserve">VI. Komplementarność projektu </w:t>
            </w:r>
            <w:r w:rsidRPr="004C5FC6">
              <w:rPr>
                <w:rFonts w:ascii="Times New Roman" w:hAnsi="Times New Roman"/>
                <w:sz w:val="18"/>
                <w:szCs w:val="18"/>
              </w:rPr>
              <w:t xml:space="preserve"> </w:t>
            </w:r>
            <w:r w:rsidRPr="004C5FC6">
              <w:rPr>
                <w:rFonts w:ascii="Times New Roman" w:hAnsi="Times New Roman"/>
                <w:b/>
                <w:bCs/>
                <w:sz w:val="18"/>
                <w:szCs w:val="18"/>
              </w:rPr>
              <w:t xml:space="preserve">z innymi projektami </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D6EE7"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Preferuje się operacje, które są komplementarne przynajmniej z jednym innym projektem. </w:t>
            </w:r>
          </w:p>
          <w:p w14:paraId="57B4873B"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charakter, wykluczający powielanie działań.</w:t>
            </w:r>
          </w:p>
          <w:p w14:paraId="43B4D12D"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4C5FC6">
              <w:rPr>
                <w:rFonts w:ascii="Times New Roman" w:hAnsi="Times New Roman"/>
                <w:sz w:val="18"/>
                <w:szCs w:val="18"/>
              </w:rPr>
              <w:t>MKiDN</w:t>
            </w:r>
            <w:proofErr w:type="spellEnd"/>
            <w:r w:rsidRPr="004C5FC6">
              <w:rPr>
                <w:rFonts w:ascii="Times New Roman" w:hAnsi="Times New Roman"/>
                <w:sz w:val="18"/>
                <w:szCs w:val="18"/>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sidRPr="004C5FC6">
              <w:t xml:space="preserve"> </w:t>
            </w:r>
            <w:r w:rsidRPr="004C5FC6">
              <w:rPr>
                <w:rFonts w:ascii="Times New Roman" w:hAnsi="Times New Roman"/>
                <w:sz w:val="18"/>
                <w:szCs w:val="18"/>
              </w:rPr>
              <w:t>Powyższe wynika m.in. z Rozporządzenia (WE) 1303/2013.</w:t>
            </w:r>
          </w:p>
          <w:p w14:paraId="0AC99706" w14:textId="77777777" w:rsidR="004C5FC6" w:rsidRPr="004C5FC6" w:rsidRDefault="004C5FC6" w:rsidP="004C5FC6">
            <w:pPr>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37554"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3 pkt – wnioskodawca wykazał komplementarność z innymi projektami </w:t>
            </w:r>
          </w:p>
          <w:p w14:paraId="69A90189"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wnioskodawca nie wykazał komplementarności z innymi projektami</w:t>
            </w:r>
          </w:p>
          <w:p w14:paraId="13ACE5E0" w14:textId="77777777" w:rsidR="004C5FC6" w:rsidRPr="004C5FC6" w:rsidRDefault="004C5FC6" w:rsidP="004C5FC6">
            <w:pPr>
              <w:spacing w:after="0" w:line="240" w:lineRule="auto"/>
              <w:rPr>
                <w:rFonts w:ascii="Times New Roman" w:hAnsi="Times New Roman"/>
                <w:sz w:val="18"/>
                <w:szCs w:val="18"/>
              </w:rPr>
            </w:pP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B7493"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 xml:space="preserve">Wniosek o dofinansowanie realizacji projektu  </w:t>
            </w:r>
          </w:p>
        </w:tc>
      </w:tr>
      <w:tr w:rsidR="004C5FC6" w:rsidRPr="004C5FC6" w14:paraId="1D53501F" w14:textId="77777777" w:rsidTr="00996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EFEF8" w14:textId="77777777" w:rsidR="004C5FC6" w:rsidRPr="004C5FC6" w:rsidRDefault="004C5FC6" w:rsidP="004C5FC6">
            <w:pPr>
              <w:spacing w:after="0" w:line="240" w:lineRule="auto"/>
              <w:rPr>
                <w:rFonts w:ascii="Times New Roman" w:hAnsi="Times New Roman"/>
                <w:b/>
                <w:bCs/>
                <w:sz w:val="18"/>
                <w:szCs w:val="18"/>
              </w:rPr>
            </w:pPr>
            <w:r w:rsidRPr="004C5FC6">
              <w:rPr>
                <w:rFonts w:ascii="Times New Roman" w:hAnsi="Times New Roman"/>
                <w:b/>
                <w:bCs/>
                <w:sz w:val="18"/>
                <w:szCs w:val="18"/>
              </w:rPr>
              <w:t>VII. Miejsce realizacji operacji</w:t>
            </w:r>
          </w:p>
        </w:tc>
        <w:tc>
          <w:tcPr>
            <w:tcW w:w="5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86549"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Premiowane będą operacje, których miejsce realizacji znajduje się w miejscowości liczącej do 5 tys. mieszkańców (wg stanu na dzień 31.12.2013 r.). W przypadku projektu realizowanego w kilku miejscowościach, a obejmujących mieszkańców przynajmniej jednej miejscowości liczącej do 5 tys. mieszkańców, punkty są przyznawane. Operacje realizowane poza miejscowościami do 5 tys. mieszkańców nie otrzymają punktów.</w:t>
            </w:r>
          </w:p>
          <w:p w14:paraId="39E2584B" w14:textId="77777777" w:rsidR="004C5FC6" w:rsidRPr="004C5FC6" w:rsidRDefault="004C5FC6" w:rsidP="004C5FC6">
            <w:pPr>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2069E"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2 pkt - projekt realizowany jest w miejscowości do 5 tys. mieszkańców włącznie</w:t>
            </w:r>
          </w:p>
          <w:p w14:paraId="3AA4BF47"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0 pkt – projekt realizowany jest w miejscowości powyżej 5 tys. mieszkańców</w:t>
            </w:r>
          </w:p>
        </w:tc>
        <w:tc>
          <w:tcPr>
            <w:tcW w:w="2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AE580" w14:textId="77777777" w:rsidR="004C5FC6" w:rsidRPr="004C5FC6" w:rsidRDefault="004C5FC6" w:rsidP="004C5FC6">
            <w:pPr>
              <w:spacing w:after="0" w:line="240" w:lineRule="auto"/>
              <w:rPr>
                <w:rFonts w:ascii="Times New Roman" w:hAnsi="Times New Roman"/>
                <w:sz w:val="18"/>
                <w:szCs w:val="18"/>
              </w:rPr>
            </w:pPr>
            <w:r w:rsidRPr="004C5FC6">
              <w:rPr>
                <w:rFonts w:ascii="Times New Roman" w:hAnsi="Times New Roman"/>
                <w:sz w:val="18"/>
                <w:szCs w:val="18"/>
              </w:rPr>
              <w:t>Wniosek o dofinansowanie realizacji projektu i Bank Danych Lokalnych (GUS)</w:t>
            </w:r>
          </w:p>
        </w:tc>
      </w:tr>
    </w:tbl>
    <w:p w14:paraId="203568F7" w14:textId="77777777" w:rsidR="005E1698" w:rsidRDefault="005E1698" w:rsidP="005E1698">
      <w:pPr>
        <w:rPr>
          <w:rFonts w:ascii="Times New Roman" w:hAnsi="Times New Roman"/>
          <w:b/>
          <w:bCs/>
          <w:color w:val="365F91"/>
          <w:sz w:val="16"/>
          <w:szCs w:val="16"/>
          <w:lang w:eastAsia="pl-PL"/>
        </w:rPr>
      </w:pPr>
    </w:p>
    <w:p w14:paraId="3C088BF2" w14:textId="77777777" w:rsidR="000624BE" w:rsidRDefault="000624BE"/>
    <w:sectPr w:rsidR="000624BE" w:rsidSect="005E16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E"/>
    <w:rsid w:val="000328E8"/>
    <w:rsid w:val="000624BE"/>
    <w:rsid w:val="003B13BE"/>
    <w:rsid w:val="004C5FC6"/>
    <w:rsid w:val="005E1698"/>
    <w:rsid w:val="009914F4"/>
    <w:rsid w:val="00BD5BBA"/>
    <w:rsid w:val="00E21EA1"/>
    <w:rsid w:val="00E73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DFE6"/>
  <w15:chartTrackingRefBased/>
  <w15:docId w15:val="{82DEBF4D-A2F3-49C4-84B8-7DFBDDB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6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5383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WirkowskaAnna</cp:lastModifiedBy>
  <cp:revision>6</cp:revision>
  <dcterms:created xsi:type="dcterms:W3CDTF">2017-10-18T12:24:00Z</dcterms:created>
  <dcterms:modified xsi:type="dcterms:W3CDTF">2020-09-16T07:46:00Z</dcterms:modified>
</cp:coreProperties>
</file>